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a97e523be79795bed48ea8990793c3f6733f25"/>
    <w:p>
      <w:pPr>
        <w:pStyle w:val="Heading3"/>
      </w:pPr>
      <w:r>
        <w:t xml:space="preserve">о способах противодействия мошенничеству при совершении благотворительных пожертвований</w:t>
      </w:r>
    </w:p>
    <w:p>
      <w:pPr>
        <w:pStyle w:val="FirstParagraph"/>
      </w:pPr>
      <w:r>
        <w:t xml:space="preserve">13.01.2022</w:t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97e/informatsiya_stranits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bcb/informatsiya_stranitsa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http://dirzdrav.mos.ru/presscenter/news/detail/10544984.html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0544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zdrav.mos.ru" TargetMode="External" /><Relationship Type="http://schemas.openxmlformats.org/officeDocument/2006/relationships/hyperlink" Id="rId26" Target="http://dirzdrav.mos.ru/presscenter/news/detail/10544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2024-06-12T11:36:38Z</dcterms:created>
  <dcterms:modified xsi:type="dcterms:W3CDTF">2024-06-12T11:36:38Z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