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7d85618b597e2af53f06477a0be84ae88183c"/>
    <w:p>
      <w:pPr>
        <w:pStyle w:val="Heading3"/>
      </w:pPr>
      <w:r>
        <w:t xml:space="preserve">Замглавы Департамента здравоохранения Москвы Сапсай рассказал о строительстве новых поликлиник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Замглавы Департамента здравоохранения города Москвы Алексей Сапсай рассказал, что в столице активно идет строительство поликлиник по новому московскому стандарту. Также в городе продолжается программа капитального ремонта медицинских учреждений.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«Активно ведется строительство поликлиник по новому московскому стандарту и, безусловно, эта работа будет вестись интенсивными темпами и в 2023 году», — заявил Сапсай.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Замглавы департамента рассказал, что все новые поликлиники построят в едином дизайне, в них будет новейшее медицинское оборудование. Медпомощь в новых учреждениях гражданам окажут «по самым современным стандартам».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2023 году продолжится строительство лучевого корпуса в медцентре «Коммунарка», травматолого-ортопедического корпуса городской больницы №31 ДЗМ, многопрофильного комплекса в детской городской клинической больнице Святого Владимира и других объектов. Планируется создать шесть скоропомощных стационарных комплексов.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Сапсай также рассказал о программе капитального ремонта поликлиник: «В ходе ремонта меняется не только внешний облик самого здания, но и все инженерные коммуникации, создаются условия для максимально комфортного пребывания пациента в поликлинике, устанавливается новое современное оборудование».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Ремонтные работы завершили уже в 66 зданиях поликлиник. В них специалисты вернулись к плановому приему пациентов. Капремонт медучреждений продолжится в 2023 году. В том числе будет выполнена комплексная модернизация Боткинской больницы, будут обновлены корпуса городской клинической больницы (ГКБ) имени В.В. Вересаева, а также ГКБ №52. В Первой градской больнице будет работать современный скоропомощной стационарный комплекс.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Повышение доступности и качества медицинской помощи — одно из направлений расходов бюджета Москвы. Согласно принятому Мосгордумой бюджету, расходы по программе «Столичное здравоохранение» составят 530,5 миллиарда рублей, с учетом средств ОМС — 899,4 миллиарда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http://dirzdrav.mos.ru/presscenter/news/detail/11183070.html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183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183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2024-06-12T12:03:51Z</dcterms:created>
  <dcterms:modified xsi:type="dcterms:W3CDTF">2024-06-12T12:03:51Z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