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70d4d9abbeab3545ad10afd7d83c270a1a8e17"/>
    <w:p>
      <w:pPr>
        <w:pStyle w:val="Heading3"/>
      </w:pPr>
      <w:r>
        <w:t xml:space="preserve">В АЛЕКСЕЕВСКОМ РАЙОНЕ И ПОСЕЛЕНИИ ЩАПОВСКОМ ОТКРЫЛИСЬ НОВЫЕ ПОЛИКЛИНИКИ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59f/j1appy27uszmd9k8hzcj01517b3w22i1/A7A71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Они оснащены современным оборудованием.</w:t>
      </w:r>
      <w:r>
        <w:br/>
      </w:r>
    </w:p>
    <w:p>
      <w:pPr>
        <w:pStyle w:val="BodyText"/>
      </w:pPr>
      <w:r>
        <w:t xml:space="preserve">В Москве начали работу две новые поликлиники. Они открылись в Алексеевском районе и поселении Щаповском.</w:t>
      </w:r>
    </w:p>
    <w:p>
      <w:pPr>
        <w:pStyle w:val="BlockText"/>
      </w:pPr>
      <w:r>
        <w:t xml:space="preserve">«Продолжаем активно развивать медицинскую инфраструктуру столицы. В октябре пациентов начали принимать три новые поликлиники, теперь открываем еще два новых здания площадью около восьми тысяч квадратных метров. На северо-востоке в Алексеевском районе — корпус детской городской поликлиники № 99, а в поселении Щаповском ТиНАО — отдельную детско-взрослую амбулаторию городской больницы “Кузнечики”. Новые здания существенно повысят доступность медпомощи почти для 15 тысяч пациентов этих районов», — сообщили в пресс-службе</w:t>
      </w:r>
      <w:r>
        <w:t xml:space="preserve"> </w:t>
      </w:r>
      <w:hyperlink r:id="rId23">
        <w:r>
          <w:rPr>
            <w:rStyle w:val="Hyperlink"/>
          </w:rPr>
          <w:t xml:space="preserve">Департамента здравоохранения города Москвы</w:t>
        </w:r>
      </w:hyperlink>
      <w:r>
        <w:t xml:space="preserve">.</w:t>
      </w:r>
    </w:p>
    <w:p>
      <w:pPr>
        <w:pStyle w:val="FirstParagraph"/>
      </w:pPr>
      <w:r>
        <w:t xml:space="preserve">На Центральной улице в поселке Курилово поселения Щаповского открылась амбулатория, рассчитанная на 110 посещений в смену. Площадь двухэтажного здания составляет около 1,5 тысячи квадратных метров. Здесь будут принимать как детей, так и взрослых. В детском отделении оборудованы приемно-смотровой фильтр-бокс, кабинет врача-педиатра, процедурные и молочно-раздаточный пункт.</w:t>
      </w:r>
    </w:p>
    <w:p>
      <w:pPr>
        <w:pStyle w:val="BodyText"/>
      </w:pPr>
      <w:r>
        <w:t xml:space="preserve">Во взрослом отделении находятся кабинет участкового врача-терапевта, а также кабинеты врачей-специалистов: гинеколога, офтальмолога, стоматолога-терапевта, хирурга, уролога, невролога, кардиолога и эндокринолога. Кроме этого, в амбулатории будет работать рентгеностоматологический кабинет, кабинеты функциональной диагностики и УЗИ.</w:t>
      </w:r>
    </w:p>
    <w:p>
      <w:pPr>
        <w:pStyle w:val="BodyText"/>
      </w:pPr>
      <w:r>
        <w:t xml:space="preserve">В Алексеевском районе на улице Касаткина открылся корпус, рассчитанный на 320 посещений в смену. Площадь здания — более шесть тысяч квадратных метров. В поликлинике есть кабинеты дежурного и участкового врачей, процедурные, манипуляционные и кабинет здорового ребенка. Также здесь ведут прием профильные специалисты, в том числе невролог, кардиолог, эндокринолог и хирург.</w:t>
      </w:r>
    </w:p>
    <w:p>
      <w:pPr>
        <w:pStyle w:val="BodyText"/>
      </w:pPr>
      <w:r>
        <w:t xml:space="preserve">В корпусе есть зал лечебной физкультуры, комната для кормления, зона лучевой и функциональной диагностики. В здании установили современное оборудование, в том числе офтальмологическое и для физиотерапии, рентген-аппарат, флюорограф, УЗИ-аппараты, лор-комбайны. Помимо того, поликлинику оснастили такими аппаратами функциональной диагностики, как ЭЭГ, ЭКГ, холтер, СМАД, ЭХО-КГ.</w:t>
      </w:r>
    </w:p>
    <w:p>
      <w:pPr>
        <w:pStyle w:val="BodyText"/>
      </w:pPr>
      <w:r>
        <w:t xml:space="preserve">На каждом этаже созданы комфортные зоны ожидания, а для сотрудников поликлиники — уютные комнаты отдыха и столовые. В поликлинике оборудована водолечебница.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http://dirzdrav.mos.ru/presscenter/news/detail/11239225.html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239225.html" TargetMode="External" /><Relationship Type="http://schemas.openxmlformats.org/officeDocument/2006/relationships/hyperlink" Id="rId23" Target="https://www.mos.ru/dzdra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239225.html" TargetMode="External" /><Relationship Type="http://schemas.openxmlformats.org/officeDocument/2006/relationships/hyperlink" Id="rId23" Target="https://www.mos.ru/dzdra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2024-06-12T12:03:48Z</dcterms:created>
  <dcterms:modified xsi:type="dcterms:W3CDTF">2024-06-12T12:03:48Z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